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Giovedì 25 febbraio 2021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Senago – Parrocchia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  <w:t>Itinerario biblico – Il libro del Siracide</w:t>
      </w:r>
    </w:p>
    <w:p>
      <w:pPr>
        <w:pStyle w:val="Normal"/>
        <w:spacing w:lineRule="auto" w:line="24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t>Ira, Vendetta, Risentimento e Parola</w:t>
      </w:r>
    </w:p>
    <w:p>
      <w:pPr>
        <w:pStyle w:val="Normal"/>
        <w:spacing w:before="0" w:after="120"/>
        <w:jc w:val="center"/>
        <w:rPr/>
      </w:pPr>
      <w:r>
        <w:rPr/>
        <w:t>(Siracide 27,30–28,26)</w:t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rPr>
          <w:i/>
          <w:i/>
          <w:iCs/>
        </w:rPr>
      </w:pPr>
      <w:r>
        <w:rPr>
          <w:i/>
          <w:iCs/>
        </w:rPr>
        <w:t>Preghiera iniziale</w:t>
      </w:r>
    </w:p>
    <w:p>
      <w:pPr>
        <w:pStyle w:val="Normal"/>
        <w:spacing w:before="120" w:after="0"/>
        <w:ind w:left="1134" w:hanging="1134"/>
        <w:rPr>
          <w:b/>
          <w:b/>
          <w:bCs/>
        </w:rPr>
      </w:pPr>
      <w:r>
        <w:rPr>
          <w:b/>
          <w:bCs/>
        </w:rPr>
        <w:t>Signore Gesù, che sanavi gli infermi</w:t>
      </w:r>
    </w:p>
    <w:p>
      <w:pPr>
        <w:pStyle w:val="Normal"/>
        <w:ind w:left="1134" w:hanging="1134"/>
        <w:rPr>
          <w:b/>
          <w:b/>
          <w:bCs/>
        </w:rPr>
      </w:pPr>
      <w:r>
        <w:rPr>
          <w:b/>
          <w:bCs/>
        </w:rPr>
        <w:t>e aprivi gli occhi ai ciechi,</w:t>
      </w:r>
    </w:p>
    <w:p>
      <w:pPr>
        <w:pStyle w:val="Normal"/>
        <w:ind w:left="1134" w:hanging="1134"/>
        <w:rPr>
          <w:b/>
          <w:b/>
          <w:bCs/>
        </w:rPr>
      </w:pPr>
      <w:r>
        <w:rPr>
          <w:b/>
          <w:bCs/>
        </w:rPr>
        <w:t>tu che assolvesti la donna peccatrice</w:t>
      </w:r>
    </w:p>
    <w:p>
      <w:pPr>
        <w:pStyle w:val="Normal"/>
        <w:ind w:left="1134" w:hanging="1134"/>
        <w:rPr>
          <w:b/>
          <w:b/>
          <w:bCs/>
        </w:rPr>
      </w:pPr>
      <w:r>
        <w:rPr>
          <w:b/>
          <w:bCs/>
        </w:rPr>
        <w:t>e confermasti Pietro nel tuo amore,</w:t>
      </w:r>
    </w:p>
    <w:p>
      <w:pPr>
        <w:pStyle w:val="Normal"/>
        <w:ind w:left="1134" w:hanging="1134"/>
        <w:rPr>
          <w:b/>
          <w:b/>
          <w:bCs/>
        </w:rPr>
      </w:pPr>
      <w:r>
        <w:rPr>
          <w:b/>
          <w:bCs/>
        </w:rPr>
        <w:t>perdona tutti i miei peccati,</w:t>
      </w:r>
    </w:p>
    <w:p>
      <w:pPr>
        <w:pStyle w:val="Normal"/>
        <w:ind w:left="1134" w:hanging="1134"/>
        <w:rPr>
          <w:b/>
          <w:b/>
          <w:bCs/>
        </w:rPr>
      </w:pPr>
      <w:r>
        <w:rPr>
          <w:b/>
          <w:bCs/>
        </w:rPr>
        <w:t>e crea in me un cuore nuovo,</w:t>
      </w:r>
    </w:p>
    <w:p>
      <w:pPr>
        <w:pStyle w:val="Normal"/>
        <w:ind w:left="1134" w:hanging="1134"/>
        <w:rPr>
          <w:b/>
          <w:b/>
          <w:bCs/>
        </w:rPr>
      </w:pPr>
      <w:r>
        <w:rPr>
          <w:b/>
          <w:bCs/>
        </w:rPr>
        <w:t>perché io possa vivere</w:t>
      </w:r>
    </w:p>
    <w:p>
      <w:pPr>
        <w:pStyle w:val="Normal"/>
        <w:ind w:left="1134" w:hanging="1134"/>
        <w:rPr>
          <w:b/>
          <w:b/>
          <w:bCs/>
        </w:rPr>
      </w:pPr>
      <w:r>
        <w:rPr>
          <w:b/>
          <w:bCs/>
        </w:rPr>
        <w:t>in perfetta unione coi fratelli</w:t>
      </w:r>
    </w:p>
    <w:p>
      <w:pPr>
        <w:pStyle w:val="Normal"/>
        <w:spacing w:before="0" w:after="120"/>
        <w:ind w:left="1134" w:hanging="1134"/>
        <w:rPr>
          <w:b/>
          <w:b/>
          <w:bCs/>
        </w:rPr>
      </w:pPr>
      <w:r>
        <w:rPr>
          <w:b/>
          <w:bCs/>
        </w:rPr>
        <w:t>e annunziare a tutti la salvezza.</w:t>
      </w:r>
    </w:p>
    <w:p>
      <w:pPr>
        <w:pStyle w:val="Normal"/>
        <w:spacing w:lineRule="auto" w:line="240"/>
        <w:rPr>
          <w:rFonts w:eastAsia="Times New Roman" w:cs="Times New Roman"/>
          <w:lang w:eastAsia="it-IT" w:bidi="he-IL"/>
        </w:rPr>
      </w:pPr>
      <w:r>
        <w:rPr>
          <w:rFonts w:eastAsia="Times New Roman" w:cs="Times New Roman"/>
          <w:lang w:eastAsia="it-IT" w:bidi="he-IL"/>
        </w:rPr>
      </w:r>
    </w:p>
    <w:p>
      <w:pPr>
        <w:pStyle w:val="Normal"/>
        <w:spacing w:lineRule="auto" w:line="240"/>
        <w:rPr>
          <w:rFonts w:eastAsia="Times New Roman" w:cs="Times New Roman"/>
          <w:i/>
          <w:i/>
          <w:iCs/>
          <w:lang w:eastAsia="it-IT" w:bidi="he-IL"/>
        </w:rPr>
      </w:pPr>
      <w:r>
        <w:rPr>
          <w:rFonts w:eastAsia="Times New Roman" w:cs="Times New Roman"/>
          <w:i/>
          <w:iCs/>
          <w:lang w:eastAsia="it-IT" w:bidi="he-IL"/>
        </w:rPr>
        <w:t>Dal libro del Siracide</w:t>
      </w:r>
    </w:p>
    <w:p>
      <w:pPr>
        <w:pStyle w:val="Normal"/>
        <w:spacing w:lineRule="auto" w:line="240" w:before="0" w:after="120"/>
        <w:rPr>
          <w:rFonts w:eastAsia="Times New Roman" w:cs="Times New Roman"/>
          <w:i/>
          <w:i/>
          <w:iCs/>
          <w:lang w:eastAsia="it-IT" w:bidi="he-IL"/>
        </w:rPr>
      </w:pPr>
      <w:r>
        <w:rPr>
          <w:rFonts w:eastAsia="Times New Roman" w:cs="Times New Roman"/>
          <w:i/>
          <w:iCs/>
          <w:lang w:eastAsia="it-IT" w:bidi="he-IL"/>
        </w:rPr>
        <w:t>(27,30–28,26)</w:t>
      </w:r>
    </w:p>
    <w:p>
      <w:pPr>
        <w:pStyle w:val="Normal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27,30</w:t>
      </w:r>
      <w:r>
        <w:rPr>
          <w:rFonts w:cs="Arial"/>
          <w:lang w:bidi="he-IL"/>
        </w:rPr>
        <w:t xml:space="preserve"> Rancore e ira sono cose orribili, e il peccatore le porta dentro. </w:t>
      </w:r>
      <w:r>
        <w:rPr>
          <w:rFonts w:cs="Arial"/>
          <w:vertAlign w:val="superscript"/>
          <w:lang w:bidi="he-IL"/>
        </w:rPr>
        <w:t>28,1</w:t>
      </w:r>
      <w:r>
        <w:rPr>
          <w:rFonts w:cs="Arial"/>
          <w:lang w:bidi="he-IL"/>
        </w:rPr>
        <w:t xml:space="preserve"> Chi si vendica subirà la vendetta del Signore, il quale tiene sempre presenti i suoi peccati.</w:t>
      </w:r>
    </w:p>
    <w:p>
      <w:pPr>
        <w:pStyle w:val="Normal"/>
        <w:ind w:firstLine="708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2</w:t>
      </w:r>
      <w:r>
        <w:rPr>
          <w:rFonts w:cs="Arial"/>
          <w:lang w:bidi="he-IL"/>
        </w:rPr>
        <w:t xml:space="preserve"> Perdona l’offesa al tuo prossimo e per la tua preghiera ti saranno rimessi i peccati. </w:t>
      </w:r>
      <w:r>
        <w:rPr>
          <w:rFonts w:cs="Arial"/>
          <w:vertAlign w:val="superscript"/>
          <w:lang w:bidi="he-IL"/>
        </w:rPr>
        <w:t>3</w:t>
      </w:r>
      <w:r>
        <w:rPr>
          <w:rFonts w:cs="Arial"/>
          <w:lang w:bidi="he-IL"/>
        </w:rPr>
        <w:t xml:space="preserve"> Un uomo che resta in collera verso un altro uomo, come può chiedere la guarigione al Signore? </w:t>
      </w:r>
      <w:r>
        <w:rPr>
          <w:rFonts w:cs="Arial"/>
          <w:vertAlign w:val="superscript"/>
          <w:lang w:bidi="he-IL"/>
        </w:rPr>
        <w:t>4</w:t>
      </w:r>
      <w:r>
        <w:rPr>
          <w:rFonts w:cs="Arial"/>
          <w:lang w:bidi="he-IL"/>
        </w:rPr>
        <w:t xml:space="preserve"> Lui che non ha misericordia per l’uomo suo simile, come può supplicare per i propri peccati? </w:t>
      </w:r>
      <w:r>
        <w:rPr>
          <w:rFonts w:cs="Arial"/>
          <w:vertAlign w:val="superscript"/>
          <w:lang w:bidi="he-IL"/>
        </w:rPr>
        <w:t>5</w:t>
      </w:r>
      <w:r>
        <w:rPr>
          <w:rFonts w:cs="Arial"/>
          <w:lang w:bidi="he-IL"/>
        </w:rPr>
        <w:t xml:space="preserve"> Se lui, che è soltanto carne, conserva rancore, chi espierà per i suoi peccati? </w:t>
      </w:r>
      <w:r>
        <w:rPr>
          <w:rFonts w:cs="Arial"/>
          <w:vertAlign w:val="superscript"/>
          <w:lang w:bidi="he-IL"/>
        </w:rPr>
        <w:t>6</w:t>
      </w:r>
      <w:r>
        <w:rPr>
          <w:rFonts w:cs="Arial"/>
          <w:lang w:bidi="he-IL"/>
        </w:rPr>
        <w:t xml:space="preserve"> Ricòrdati della fine e smetti di odiare, della dissoluzione e della morte e resta fedele ai comandamenti. </w:t>
      </w:r>
      <w:r>
        <w:rPr>
          <w:rFonts w:cs="Arial"/>
          <w:vertAlign w:val="superscript"/>
          <w:lang w:bidi="he-IL"/>
        </w:rPr>
        <w:t>7</w:t>
      </w:r>
      <w:r>
        <w:rPr>
          <w:rFonts w:cs="Arial"/>
          <w:lang w:bidi="he-IL"/>
        </w:rPr>
        <w:t xml:space="preserve"> Ricorda i precetti e non odiare il prossimo, l’alleanza dell’Altissimo e dimentica gli errori altrui. </w:t>
      </w:r>
    </w:p>
    <w:p>
      <w:pPr>
        <w:pStyle w:val="Normal"/>
        <w:ind w:firstLine="708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8</w:t>
      </w:r>
      <w:r>
        <w:rPr>
          <w:rFonts w:cs="Arial"/>
          <w:lang w:bidi="he-IL"/>
        </w:rPr>
        <w:t xml:space="preserve"> Astieniti dalle risse e diminuirai i peccati, perché l’uomo passionale attizza la lite. </w:t>
      </w:r>
      <w:r>
        <w:rPr>
          <w:rFonts w:cs="Arial"/>
          <w:vertAlign w:val="superscript"/>
          <w:lang w:bidi="he-IL"/>
        </w:rPr>
        <w:t>9</w:t>
      </w:r>
      <w:r>
        <w:rPr>
          <w:rFonts w:cs="Arial"/>
          <w:lang w:bidi="he-IL"/>
        </w:rPr>
        <w:t xml:space="preserve"> Un uomo peccatore semina discordia tra gli amici e tra persone pacifiche diffonde la calunnia. </w:t>
      </w:r>
      <w:r>
        <w:rPr>
          <w:rFonts w:cs="Arial"/>
          <w:vertAlign w:val="superscript"/>
          <w:lang w:bidi="he-IL"/>
        </w:rPr>
        <w:t>10</w:t>
      </w:r>
      <w:r>
        <w:rPr>
          <w:rFonts w:cs="Arial"/>
          <w:lang w:bidi="he-IL"/>
        </w:rPr>
        <w:t xml:space="preserve"> Il fuoco divampa in proporzione dell’esca, così la lite s’accresce con l’ostinazione; il furore di un uomo è proporzionato alla sua forza, la sua ira cresce in base alla sua ricchezza. </w:t>
      </w:r>
      <w:r>
        <w:rPr>
          <w:rFonts w:cs="Arial"/>
          <w:vertAlign w:val="superscript"/>
          <w:lang w:bidi="he-IL"/>
        </w:rPr>
        <w:t>11</w:t>
      </w:r>
      <w:r>
        <w:rPr>
          <w:rFonts w:cs="Arial"/>
          <w:lang w:bidi="he-IL"/>
        </w:rPr>
        <w:t xml:space="preserve"> Una lite concitata accende il fuoco, una rissa violenta fa versare sangue. </w:t>
      </w:r>
      <w:r>
        <w:rPr>
          <w:rFonts w:cs="Arial"/>
          <w:vertAlign w:val="superscript"/>
          <w:lang w:bidi="he-IL"/>
        </w:rPr>
        <w:t>12</w:t>
      </w:r>
      <w:r>
        <w:rPr>
          <w:rFonts w:cs="Arial"/>
          <w:lang w:bidi="he-IL"/>
        </w:rPr>
        <w:t xml:space="preserve"> Se soffi su una scintilla, divampa, se vi sputi sopra, si spegne; eppure ambedue le cose escono dalla tua bocca. </w:t>
      </w:r>
    </w:p>
    <w:p>
      <w:pPr>
        <w:pStyle w:val="Normal"/>
        <w:ind w:firstLine="708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13</w:t>
      </w:r>
      <w:r>
        <w:rPr>
          <w:rFonts w:cs="Arial"/>
          <w:lang w:bidi="he-IL"/>
        </w:rPr>
        <w:t xml:space="preserve"> Maledici il calunniatore e l’uomo che è bugiardo, perché hanno rovinato molti che stavano in pace. </w:t>
      </w:r>
      <w:r>
        <w:rPr>
          <w:rFonts w:cs="Arial"/>
          <w:vertAlign w:val="superscript"/>
          <w:lang w:bidi="he-IL"/>
        </w:rPr>
        <w:t>14</w:t>
      </w:r>
      <w:r>
        <w:rPr>
          <w:rFonts w:cs="Arial"/>
          <w:lang w:bidi="he-IL"/>
        </w:rPr>
        <w:t xml:space="preserve"> Le dicerie di una terza persona hanno sconvolto molti, li hanno scacciati di nazione in nazione; hanno demolito città fortificate e rovinato casati potenti. </w:t>
      </w:r>
      <w:r>
        <w:rPr>
          <w:rFonts w:cs="Arial"/>
          <w:vertAlign w:val="superscript"/>
          <w:lang w:bidi="he-IL"/>
        </w:rPr>
        <w:t>15</w:t>
      </w:r>
      <w:r>
        <w:rPr>
          <w:rFonts w:cs="Arial"/>
          <w:lang w:bidi="he-IL"/>
        </w:rPr>
        <w:t xml:space="preserve"> Le dicerie di una terza persona hanno fatto ripudiare donne forti, privandole del frutto delle loro fatiche. </w:t>
      </w:r>
      <w:r>
        <w:rPr>
          <w:rFonts w:cs="Arial"/>
          <w:vertAlign w:val="superscript"/>
          <w:lang w:bidi="he-IL"/>
        </w:rPr>
        <w:t>16</w:t>
      </w:r>
      <w:r>
        <w:rPr>
          <w:rFonts w:cs="Arial"/>
          <w:lang w:bidi="he-IL"/>
        </w:rPr>
        <w:t xml:space="preserve"> Chi a esse presta attenzione certo non troverà pace, non vivrà tranquillo nella sua dimora. </w:t>
      </w:r>
    </w:p>
    <w:p>
      <w:pPr>
        <w:pStyle w:val="Normal"/>
        <w:ind w:firstLine="708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17</w:t>
      </w:r>
      <w:r>
        <w:rPr>
          <w:rFonts w:cs="Arial"/>
          <w:lang w:bidi="he-IL"/>
        </w:rPr>
        <w:t xml:space="preserve"> Un colpo di frusta produce lividure, ma un colpo di lingua rompe le ossa. </w:t>
      </w:r>
      <w:r>
        <w:rPr>
          <w:rFonts w:cs="Arial"/>
          <w:vertAlign w:val="superscript"/>
          <w:lang w:bidi="he-IL"/>
        </w:rPr>
        <w:t>18</w:t>
      </w:r>
      <w:r>
        <w:rPr>
          <w:rFonts w:cs="Arial"/>
          <w:lang w:bidi="he-IL"/>
        </w:rPr>
        <w:t xml:space="preserve"> Molti sono caduti a fil di spada, ma non quanti sono periti per colpa della lingua. </w:t>
      </w:r>
      <w:r>
        <w:rPr>
          <w:rFonts w:cs="Arial"/>
          <w:vertAlign w:val="superscript"/>
          <w:lang w:bidi="he-IL"/>
        </w:rPr>
        <w:t>19</w:t>
      </w:r>
      <w:r>
        <w:rPr>
          <w:rFonts w:cs="Arial"/>
          <w:lang w:bidi="he-IL"/>
        </w:rPr>
        <w:t xml:space="preserve"> Beato chi è al riparo da essa, chi non è esposto al suo furore, chi non ha trascinato il suo giogo e non è stato legato con le sue catene. </w:t>
      </w:r>
      <w:r>
        <w:rPr>
          <w:rFonts w:cs="Arial"/>
          <w:vertAlign w:val="superscript"/>
          <w:lang w:bidi="he-IL"/>
        </w:rPr>
        <w:t>20</w:t>
      </w:r>
      <w:r>
        <w:rPr>
          <w:rFonts w:cs="Arial"/>
          <w:lang w:bidi="he-IL"/>
        </w:rPr>
        <w:t xml:space="preserve"> Il suo giogo è un giogo di ferro; le sue catene sono catene di bronzo. </w:t>
      </w:r>
      <w:r>
        <w:rPr>
          <w:rFonts w:cs="Arial"/>
          <w:vertAlign w:val="superscript"/>
          <w:lang w:bidi="he-IL"/>
        </w:rPr>
        <w:t>21</w:t>
      </w:r>
      <w:r>
        <w:rPr>
          <w:rFonts w:cs="Arial"/>
          <w:lang w:bidi="he-IL"/>
        </w:rPr>
        <w:t xml:space="preserve"> Spaventosa è la morte che la lingua procura, al confronto è preferibile il regno dei morti. </w:t>
      </w:r>
      <w:r>
        <w:rPr>
          <w:rFonts w:cs="Arial"/>
          <w:vertAlign w:val="superscript"/>
          <w:lang w:bidi="he-IL"/>
        </w:rPr>
        <w:t>22</w:t>
      </w:r>
      <w:r>
        <w:rPr>
          <w:rFonts w:cs="Arial"/>
          <w:lang w:bidi="he-IL"/>
        </w:rPr>
        <w:t xml:space="preserve"> Essa non ha potere sugli uomini pii, questi non bruceranno alla sua fiamma. </w:t>
      </w:r>
      <w:r>
        <w:rPr>
          <w:rFonts w:cs="Arial"/>
          <w:vertAlign w:val="superscript"/>
          <w:lang w:bidi="he-IL"/>
        </w:rPr>
        <w:t>23</w:t>
      </w:r>
      <w:r>
        <w:rPr>
          <w:rFonts w:cs="Arial"/>
          <w:lang w:bidi="he-IL"/>
        </w:rPr>
        <w:t xml:space="preserve"> Quanti abbandonano il Signore in essa cadranno, fra costoro divamperà senza spegnersi mai. Si avventerà contro di loro come un leone e come una pantera ne farà scempio. </w:t>
      </w:r>
    </w:p>
    <w:p>
      <w:pPr>
        <w:pStyle w:val="Normal"/>
        <w:ind w:firstLine="708"/>
        <w:rPr>
          <w:rFonts w:ascii="Book Antiqua" w:hAnsi="Book Antiqua" w:cs="Arial" w:asciiTheme="majorHAnsi" w:hAnsiTheme="majorHAnsi"/>
          <w:lang w:bidi="he-IL"/>
        </w:rPr>
      </w:pPr>
      <w:r>
        <w:rPr>
          <w:rFonts w:cs="Arial"/>
          <w:vertAlign w:val="superscript"/>
          <w:lang w:bidi="he-IL"/>
        </w:rPr>
        <w:t>24</w:t>
      </w:r>
      <w:r>
        <w:rPr>
          <w:rFonts w:cs="Arial"/>
          <w:lang w:bidi="he-IL"/>
        </w:rPr>
        <w:t xml:space="preserve"> Ecco, recingi pure la tua proprietà con siepe spinosa, e sulla tua bocca fa’ porta e catenaccio. Metti sotto chiave l’argento e l’oro, </w:t>
      </w:r>
      <w:r>
        <w:rPr>
          <w:rFonts w:cs="Arial"/>
          <w:vertAlign w:val="superscript"/>
          <w:lang w:bidi="he-IL"/>
        </w:rPr>
        <w:t>25</w:t>
      </w:r>
      <w:r>
        <w:rPr>
          <w:rFonts w:cs="Arial"/>
          <w:lang w:bidi="he-IL"/>
        </w:rPr>
        <w:t xml:space="preserve"> ma per le tue parole fa’ bilancia e peso. </w:t>
      </w:r>
      <w:r>
        <w:rPr>
          <w:rFonts w:cs="Arial"/>
          <w:vertAlign w:val="superscript"/>
          <w:lang w:bidi="he-IL"/>
        </w:rPr>
        <w:t>26</w:t>
      </w:r>
      <w:r>
        <w:rPr>
          <w:rFonts w:cs="Arial"/>
          <w:lang w:bidi="he-IL"/>
        </w:rPr>
        <w:t xml:space="preserve"> Sta’ attento a non scivolare a causa della lingua, per non cadere di fronte a chi ti insidia.</w:t>
      </w:r>
    </w:p>
    <w:p>
      <w:pPr>
        <w:pStyle w:val="Normal"/>
        <w:rPr>
          <w:i/>
          <w:i/>
          <w:iCs/>
        </w:rPr>
      </w:pPr>
      <w:r>
        <w:rPr/>
      </w:r>
    </w:p>
    <w:sectPr>
      <w:footerReference w:type="default" r:id="rId2"/>
      <w:type w:val="nextPage"/>
      <w:pgSz w:w="11906" w:h="16838"/>
      <w:pgMar w:left="1701" w:right="1701" w:header="0" w:top="1701" w:footer="709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ook Antiqua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86772407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ok Antiqua" w:hAnsi="Book Antiqua" w:eastAsia="Book Antiqua" w:cs="" w:cstheme="minorBidi" w:eastAsia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6c76"/>
    <w:pPr>
      <w:widowControl/>
      <w:bidi w:val="0"/>
      <w:spacing w:lineRule="auto" w:line="276"/>
      <w:jc w:val="left"/>
    </w:pPr>
    <w:rPr>
      <w:rFonts w:ascii="Book Antiqua" w:hAnsi="Book Antiqua" w:eastAsia="Book Antiqua" w:cs="" w:cstheme="minorBidi" w:eastAsiaTheme="minorHAnsi"/>
      <w:color w:val="00000A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eb5e2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b5e2a"/>
    <w:rPr/>
  </w:style>
  <w:style w:type="character" w:styleId="CollegamentoInternet">
    <w:name w:val="Collegamento Internet"/>
    <w:basedOn w:val="DefaultParagraphFont"/>
    <w:uiPriority w:val="99"/>
    <w:rsid w:val="001f715f"/>
    <w:rPr>
      <w:strike w:val="false"/>
      <w:dstrike w:val="false"/>
      <w:color w:val="0000FF"/>
      <w:u w:val="none"/>
      <w:effect w:val="none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006be5"/>
    <w:rPr>
      <w:rFonts w:ascii="Book Antiqua" w:hAnsi="Book Antiqua" w:eastAsia="Batang" w:cs="Times New Roman" w:asciiTheme="minorHAnsi" w:hAnsiTheme="minorHAnsi"/>
      <w:sz w:val="20"/>
      <w:szCs w:val="20"/>
      <w:lang w:eastAsia="it-IT"/>
    </w:rPr>
  </w:style>
  <w:style w:type="character" w:styleId="Pagenumber">
    <w:name w:val="page number"/>
    <w:basedOn w:val="DefaultParagraphFont"/>
    <w:qFormat/>
    <w:rsid w:val="001f715f"/>
    <w:rPr/>
  </w:style>
  <w:style w:type="character" w:styleId="Greekhdrin" w:customStyle="1">
    <w:name w:val="greek_hdr_in"/>
    <w:basedOn w:val="DefaultParagraphFont"/>
    <w:qFormat/>
    <w:rsid w:val="001f715f"/>
    <w:rPr/>
  </w:style>
  <w:style w:type="character" w:styleId="Greek" w:customStyle="1">
    <w:name w:val="greek"/>
    <w:basedOn w:val="DefaultParagraphFont"/>
    <w:qFormat/>
    <w:rsid w:val="001f715f"/>
    <w:rPr/>
  </w:style>
  <w:style w:type="character" w:styleId="Footnotereference">
    <w:name w:val="footnote reference"/>
    <w:basedOn w:val="DefaultParagraphFont"/>
    <w:semiHidden/>
    <w:unhideWhenUsed/>
    <w:qFormat/>
    <w:rsid w:val="00687978"/>
    <w:rPr>
      <w:vertAlign w:val="superscript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846382"/>
    <w:rPr>
      <w:rFonts w:ascii="Times New Roman" w:hAnsi="Times New Roman" w:eastAsia="Times New Roman" w:cs="Times New Roman"/>
      <w:sz w:val="28"/>
      <w:lang w:eastAsia="it-IT"/>
    </w:rPr>
  </w:style>
  <w:style w:type="character" w:styleId="Encyclopediasmallcaps" w:customStyle="1">
    <w:name w:val="encyclopedia_smallcaps"/>
    <w:basedOn w:val="DefaultParagraphFont"/>
    <w:qFormat/>
    <w:rsid w:val="00846382"/>
    <w:rPr/>
  </w:style>
  <w:style w:type="character" w:styleId="Translate" w:customStyle="1">
    <w:name w:val="translate"/>
    <w:basedOn w:val="DefaultParagraphFont"/>
    <w:qFormat/>
    <w:rsid w:val="00846382"/>
    <w:rPr/>
  </w:style>
  <w:style w:type="character" w:styleId="Appleconvertedspace" w:customStyle="1">
    <w:name w:val="apple-converted-space"/>
    <w:basedOn w:val="DefaultParagraphFont"/>
    <w:qFormat/>
    <w:rsid w:val="0084638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a617ad"/>
    <w:rPr>
      <w:color w:val="605E5C"/>
      <w:shd w:fill="E1DFDD" w:val="clear"/>
    </w:rPr>
  </w:style>
  <w:style w:type="character" w:styleId="ParagrafonormaleCarattere" w:customStyle="1">
    <w:name w:val="Paragrafo normale Carattere"/>
    <w:basedOn w:val="DefaultParagraphFont"/>
    <w:link w:val="Paragrafonormale"/>
    <w:qFormat/>
    <w:rsid w:val="0058597b"/>
    <w:rPr>
      <w:rFonts w:ascii="Garamond" w:hAnsi="Garamond" w:eastAsia="MS Mincho" w:cs="Times Borgo NR"/>
      <w:iCs/>
      <w:sz w:val="22"/>
      <w:szCs w:val="28"/>
      <w:lang w:eastAsia="zh-CN"/>
    </w:rPr>
  </w:style>
  <w:style w:type="character" w:styleId="Rientrocorpodeltesto3Carattere" w:customStyle="1">
    <w:name w:val="Rientro corpo del testo 3 Carattere"/>
    <w:basedOn w:val="DefaultParagraphFont"/>
    <w:link w:val="Rientrocorpodeltesto3"/>
    <w:uiPriority w:val="99"/>
    <w:semiHidden/>
    <w:qFormat/>
    <w:rsid w:val="008f3b89"/>
    <w:rPr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eastAsia="Times New Roman" w:cs="Times New Roman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846382"/>
    <w:pPr>
      <w:spacing w:lineRule="auto" w:line="360"/>
    </w:pPr>
    <w:rPr>
      <w:rFonts w:ascii="Times New Roman" w:hAnsi="Times New Roman" w:eastAsia="Times New Roman" w:cs="Times New Roman"/>
      <w:sz w:val="28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link w:val="IntestazioneCarattere"/>
    <w:unhideWhenUsed/>
    <w:rsid w:val="00eb5e2a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Pidipagina">
    <w:name w:val="Footer"/>
    <w:basedOn w:val="Normal"/>
    <w:link w:val="PidipaginaCarattere"/>
    <w:unhideWhenUsed/>
    <w:rsid w:val="00eb5e2a"/>
    <w:pPr>
      <w:tabs>
        <w:tab w:val="center" w:pos="4819" w:leader="none"/>
        <w:tab w:val="right" w:pos="9638" w:leader="none"/>
      </w:tabs>
      <w:spacing w:lineRule="auto" w:line="240"/>
    </w:pPr>
    <w:rPr/>
  </w:style>
  <w:style w:type="paragraph" w:styleId="Footnotetext">
    <w:name w:val="footnote text"/>
    <w:basedOn w:val="Normal"/>
    <w:link w:val="TestonotaapidipaginaCarattere"/>
    <w:semiHidden/>
    <w:qFormat/>
    <w:rsid w:val="00006be5"/>
    <w:pPr>
      <w:spacing w:lineRule="auto" w:line="240"/>
    </w:pPr>
    <w:rPr>
      <w:rFonts w:ascii="Book Antiqua" w:hAnsi="Book Antiqua" w:eastAsia="Batang" w:cs="Times New Roman" w:asciiTheme="minorHAnsi" w:hAnsiTheme="minorHAnsi"/>
      <w:sz w:val="20"/>
      <w:szCs w:val="20"/>
      <w:lang w:eastAsia="it-IT"/>
    </w:rPr>
  </w:style>
  <w:style w:type="paragraph" w:styleId="Corpo" w:customStyle="1">
    <w:name w:val="Corpo"/>
    <w:basedOn w:val="Normal"/>
    <w:qFormat/>
    <w:rsid w:val="001f715f"/>
    <w:pPr>
      <w:spacing w:lineRule="auto" w:line="240"/>
    </w:pPr>
    <w:rPr>
      <w:rFonts w:eastAsia="Batang" w:cs="Times New Roman"/>
      <w:sz w:val="26"/>
      <w:szCs w:val="20"/>
      <w:lang w:eastAsia="it-IT"/>
    </w:rPr>
  </w:style>
  <w:style w:type="paragraph" w:styleId="Carattere" w:customStyle="1">
    <w:name w:val="Carattere"/>
    <w:basedOn w:val="Normal"/>
    <w:qFormat/>
    <w:rsid w:val="001f715f"/>
    <w:pPr>
      <w:spacing w:lineRule="auto" w:line="240"/>
    </w:pPr>
    <w:rPr>
      <w:rFonts w:eastAsia="Times New Roman" w:cs="Times New Roman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846382"/>
    <w:pPr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lang w:eastAsia="it-IT"/>
    </w:rPr>
  </w:style>
  <w:style w:type="paragraph" w:styleId="Paragrafonormale" w:customStyle="1">
    <w:name w:val="Paragrafo normale"/>
    <w:basedOn w:val="Normal"/>
    <w:link w:val="ParagrafonormaleCarattere"/>
    <w:qFormat/>
    <w:rsid w:val="0058597b"/>
    <w:pPr>
      <w:spacing w:lineRule="exact" w:line="360"/>
      <w:ind w:firstLine="567"/>
    </w:pPr>
    <w:rPr>
      <w:rFonts w:ascii="Garamond" w:hAnsi="Garamond" w:eastAsia="MS Mincho" w:cs="Times Borgo NR"/>
      <w:iCs/>
      <w:sz w:val="22"/>
      <w:szCs w:val="28"/>
      <w:lang w:eastAsia="zh-CN"/>
    </w:rPr>
  </w:style>
  <w:style w:type="paragraph" w:styleId="BodyTextIndent3">
    <w:name w:val="Body Text Indent 3"/>
    <w:basedOn w:val="Normal"/>
    <w:link w:val="Rientrocorpodeltesto3Carattere"/>
    <w:uiPriority w:val="99"/>
    <w:semiHidden/>
    <w:unhideWhenUsed/>
    <w:qFormat/>
    <w:rsid w:val="008f3b89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6035a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FA46F-F006-45FA-A9D3-FC90A8D8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LibreOffice/5.4.4.2$Windows_X86_64 LibreOffice_project/2524958677847fb3bb44820e40380acbe820f960</Application>
  <Pages>2</Pages>
  <Words>574</Words>
  <Characters>2709</Characters>
  <CharactersWithSpaces>3263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2021-02-23T06:20:00Z</dcterms:created>
  <dc:creator>Matteo Crimella</dc:creator>
  <dc:description/>
  <dc:language>it-IT</dc:language>
  <cp:lastModifiedBy/>
  <cp:lastPrinted>2021-02-24T21:03:44Z</cp:lastPrinted>
  <dcterms:modified xsi:type="dcterms:W3CDTF">2021-02-24T22:06:55Z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